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266.0" w:type="dxa"/>
        <w:jc w:val="left"/>
        <w:tblInd w:w="-103.0" w:type="dxa"/>
        <w:tblBorders>
          <w:top w:color="ffffff" w:space="0" w:sz="4" w:val="single"/>
          <w:left w:color="ffffff" w:space="0" w:sz="4" w:val="single"/>
          <w:bottom w:color="ffffff" w:space="0" w:sz="4" w:val="single"/>
          <w:insideH w:color="ffffff" w:space="0" w:sz="4" w:val="single"/>
        </w:tblBorders>
        <w:tblLayout w:type="fixed"/>
        <w:tblLook w:val="0000"/>
      </w:tblPr>
      <w:tblGrid>
        <w:gridCol w:w="1301"/>
        <w:gridCol w:w="7965"/>
        <w:tblGridChange w:id="0">
          <w:tblGrid>
            <w:gridCol w:w="1301"/>
            <w:gridCol w:w="7965"/>
          </w:tblGrid>
        </w:tblGridChange>
      </w:tblGrid>
      <w:tr>
        <w:trPr>
          <w:cantSplit w:val="0"/>
          <w:trHeight w:val="546" w:hRule="atLeast"/>
          <w:tblHeader w:val="0"/>
        </w:trPr>
        <w:tc>
          <w:tcPr>
            <w:tcBorders>
              <w:top w:color="ffffff" w:space="0" w:sz="4" w:val="single"/>
              <w:left w:color="ffffff" w:space="0" w:sz="4" w:val="single"/>
              <w:bottom w:color="ffffff" w:space="0" w:sz="4" w:val="single"/>
            </w:tcBorders>
            <w:shd w:fill="70ad47" w:val="cle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15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Valeur de l'attribut </w:t>
            </w:r>
            <w:r w:rsidDel="00000000" w:rsidR="00000000" w:rsidRPr="00000000">
              <w:rPr>
                <w:rtl w:val="0"/>
              </w:rPr>
            </w:r>
          </w:p>
        </w:tc>
        <w:tc>
          <w:tcPr>
            <w:tcBorders>
              <w:top w:color="ffffff" w:space="0" w:sz="4" w:val="single"/>
              <w:bottom w:color="ffffff" w:space="0" w:sz="4" w:val="single"/>
              <w:right w:color="ffffff" w:space="0" w:sz="4" w:val="single"/>
            </w:tcBorders>
            <w:shd w:fill="70ad47" w:val="cle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Effet</w:t>
            </w:r>
            <w:r w:rsidDel="00000000" w:rsidR="00000000" w:rsidRPr="00000000">
              <w:rPr>
                <w:rtl w:val="0"/>
              </w:rPr>
            </w:r>
          </w:p>
        </w:tc>
      </w:tr>
      <w:tr>
        <w:trPr>
          <w:cantSplit w:val="0"/>
          <w:trHeight w:val="747"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font-family</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une liste de polices de caractères, les alternatives séparées par le caractère virgule.</w:t>
            </w:r>
            <w:r w:rsidDel="00000000" w:rsidR="00000000" w:rsidRPr="00000000">
              <w:rPr>
                <w:rtl w:val="0"/>
              </w:rPr>
            </w:r>
          </w:p>
        </w:tc>
      </w:tr>
      <w:tr>
        <w:trPr>
          <w:cantSplit w:val="0"/>
          <w:trHeight w:val="1120"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1"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font-size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spécifier la taille des caractères d’un texte exprimée en nombre de points pt, en nombre de pixels px, en millimètre mm, en centimètres cm, en pica pc ou en pouces (inch) (1 in=6 pc=72 pt=2,54 cm).</w:t>
            </w:r>
            <w:r w:rsidDel="00000000" w:rsidR="00000000" w:rsidRPr="00000000">
              <w:rPr>
                <w:rtl w:val="0"/>
              </w:rPr>
            </w:r>
          </w:p>
        </w:tc>
      </w:tr>
      <w:tr>
        <w:trPr>
          <w:cantSplit w:val="0"/>
          <w:trHeight w:val="939"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font-variant</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Spécifie si les caractères doivent être rendus normaux (normal) ou en petites capitales (small-caps).</w:t>
            </w:r>
            <w:r w:rsidDel="00000000" w:rsidR="00000000" w:rsidRPr="00000000">
              <w:rPr>
                <w:rtl w:val="0"/>
              </w:rPr>
            </w:r>
          </w:p>
        </w:tc>
      </w:tr>
      <w:tr>
        <w:trPr>
          <w:cantSplit w:val="0"/>
          <w:trHeight w:val="772"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font-style</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précise l'aspect dans lequel doit être rendu le texte : en italique (italic) ou normal (par défaut).</w:t>
            </w:r>
            <w:r w:rsidDel="00000000" w:rsidR="00000000" w:rsidRPr="00000000">
              <w:rPr>
                <w:rtl w:val="0"/>
              </w:rPr>
            </w:r>
          </w:p>
        </w:tc>
      </w:tr>
      <w:tr>
        <w:trPr>
          <w:cantSplit w:val="0"/>
          <w:trHeight w:val="1494"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font-weight</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mettre le texte en gras.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Le degré de graissage de texte peut être indiqué avec une valeur comprise entre 100 et 900 ou avec des valeurs prédéfinies :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extra-light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demi-light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light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medium</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demi-bold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bold</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extra-bold.</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bolder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pour le graissage supérieur et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lighter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 pour le graissage inférieure.</w:t>
            </w:r>
            <w:r w:rsidDel="00000000" w:rsidR="00000000" w:rsidRPr="00000000">
              <w:rPr>
                <w:rtl w:val="0"/>
              </w:rPr>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 w:line="240" w:lineRule="auto"/>
              <w:ind w:left="101"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font-stretch</w:t>
            </w: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d’indiquer le taux de condensation du texte.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Les valeurs possibles sont :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normal, wider, narrower, ultra-condensed, extra-condensed, condensed, semi-condensed, semi-expanded, expanded, extra-expanded et ultra-expanded.</w:t>
            </w:r>
            <w:r w:rsidDel="00000000" w:rsidR="00000000" w:rsidRPr="00000000">
              <w:rPr>
                <w:rtl w:val="0"/>
              </w:rPr>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Color</w:t>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la couleur de texte.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La valeur de cette propriété peut être indiquée avec le nom de la couleur, en hexadécimal (# ff 57 33 ) ou en  utilisant la fonction rgb(r,v,b) </w:t>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text-decoration</w:t>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les décorations du texte. Les valeurs possibles de cette propriété sont : none,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underline, overline, line-through, blink</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text-shadow</w:t>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les effets d'ombrage du texte. On spécifie une liste de valeurs séparées par un espace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 h-shadow v-shadow blur-radius color</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r>
            <w:r w:rsidDel="00000000" w:rsidR="00000000" w:rsidRPr="00000000">
              <w:rPr>
                <w:rtl w:val="0"/>
              </w:rPr>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text-indent</w:t>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spécifier un alinéa pour la première ligne du texte d’un élément HTML de type bloc. La valeur de la propriété peut être indiquée en absolue ou en relative.</w:t>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text-align</w:t>
            </w:r>
          </w:p>
        </w:tc>
        <w:tc>
          <w:tcPr>
            <w:tcBorders>
              <w:top w:color="ffffff" w:space="0" w:sz="4" w:val="single"/>
              <w:left w:color="ffffff" w:space="0" w:sz="4" w:val="single"/>
              <w:bottom w:color="ffffff" w:space="0" w:sz="4" w:val="single"/>
              <w:right w:color="ffffff" w:space="0" w:sz="4" w:val="single"/>
            </w:tcBorders>
            <w:shd w:fill="c5e0b3" w:val="cle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l'alignement du contenu d’un élément HTML de type bloc. Les valeurs possibles sont :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left, right, center, justify.</w:t>
            </w:r>
            <w:r w:rsidDel="00000000" w:rsidR="00000000" w:rsidRPr="00000000">
              <w:rPr>
                <w:rtl w:val="0"/>
              </w:rPr>
            </w:r>
          </w:p>
        </w:tc>
      </w:tr>
      <w:tr>
        <w:trPr>
          <w:cantSplit w:val="0"/>
          <w:trHeight w:val="1306" w:hRule="atLeast"/>
          <w:tblHeader w:val="0"/>
        </w:trPr>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ff"/>
                <w:sz w:val="24"/>
                <w:szCs w:val="24"/>
                <w:u w:val="none"/>
                <w:shd w:fill="auto" w:val="clear"/>
                <w:vertAlign w:val="baseline"/>
                <w:rtl w:val="0"/>
              </w:rPr>
              <w:t xml:space="preserve">float</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ff"/>
                <w:sz w:val="24"/>
                <w:szCs w:val="24"/>
                <w:u w:val="none"/>
                <w:shd w:fill="auto" w:val="clear"/>
                <w:vertAlign w:val="baseline"/>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e2efd9" w:val="cle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l’habillage d’un élément en le faisant flotter autour du texte. Les valeurs possibles sont : </w:t>
            </w: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left, right</w:t>
            </w: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w:t>
              <w:tab/>
            </w:r>
            <w:r w:rsidDel="00000000" w:rsidR="00000000" w:rsidRPr="00000000">
              <w:rPr>
                <w:rtl w:val="0"/>
              </w:rPr>
            </w:r>
          </w:p>
        </w:tc>
      </w:tr>
    </w:tbl>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2"/>
        <w:tblW w:w="9204.0" w:type="dxa"/>
        <w:jc w:val="left"/>
        <w:tblInd w:w="-5.0" w:type="dxa"/>
        <w:tblBorders>
          <w:top w:color="04dfdb" w:space="0" w:sz="18" w:val="single"/>
          <w:left w:color="04dfdb" w:space="0" w:sz="8" w:val="single"/>
          <w:bottom w:color="04dfdb" w:space="0" w:sz="8" w:val="single"/>
          <w:right w:color="04dfdb" w:space="0" w:sz="8" w:val="single"/>
          <w:insideH w:color="04dfdb" w:space="0" w:sz="8" w:val="single"/>
          <w:insideV w:color="04dfdb" w:space="0" w:sz="8" w:val="single"/>
        </w:tblBorders>
        <w:tblLayout w:type="fixed"/>
        <w:tblLook w:val="0000"/>
      </w:tblPr>
      <w:tblGrid>
        <w:gridCol w:w="1388"/>
        <w:gridCol w:w="7816"/>
        <w:tblGridChange w:id="0">
          <w:tblGrid>
            <w:gridCol w:w="1388"/>
            <w:gridCol w:w="7816"/>
          </w:tblGrid>
        </w:tblGridChange>
      </w:tblGrid>
      <w:tr>
        <w:trPr>
          <w:cantSplit w:val="0"/>
          <w:trHeight w:val="558" w:hRule="atLeast"/>
          <w:tblHeader w:val="0"/>
        </w:trPr>
        <w:tc>
          <w:tcPr>
            <w:tcBorders>
              <w:top w:color="04dfdb" w:space="0" w:sz="1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letter-spacing</w:t>
            </w:r>
            <w:r w:rsidDel="00000000" w:rsidR="00000000" w:rsidRPr="00000000">
              <w:rPr>
                <w:rtl w:val="0"/>
              </w:rPr>
            </w:r>
          </w:p>
        </w:tc>
        <w:tc>
          <w:tcPr>
            <w:tcBorders>
              <w:top w:color="04dfdb" w:space="0" w:sz="1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l'espacement entre les caractères du texte.</w:t>
            </w:r>
          </w:p>
        </w:tc>
      </w:tr>
      <w:tr>
        <w:trPr>
          <w:cantSplit w:val="0"/>
          <w:trHeight w:val="558"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word-spacing</w:t>
            </w:r>
            <w:r w:rsidDel="00000000" w:rsidR="00000000" w:rsidRPr="00000000">
              <w:rPr>
                <w:rtl w:val="0"/>
              </w:rPr>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l'espacement entre les mots.</w:t>
            </w:r>
          </w:p>
        </w:tc>
      </w:tr>
      <w:tr>
        <w:trPr>
          <w:cantSplit w:val="0"/>
          <w:trHeight w:val="558"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line-height</w:t>
            </w:r>
            <w:r w:rsidDel="00000000" w:rsidR="00000000" w:rsidRPr="00000000">
              <w:rPr>
                <w:rtl w:val="0"/>
              </w:rPr>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l'espacement entre les lignes du texte.</w:t>
            </w:r>
          </w:p>
        </w:tc>
      </w:tr>
      <w:tr>
        <w:trPr>
          <w:cantSplit w:val="0"/>
          <w:trHeight w:val="558"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white-space</w:t>
            </w:r>
            <w:r w:rsidDel="00000000" w:rsidR="00000000" w:rsidRPr="00000000">
              <w:rPr>
                <w:rtl w:val="0"/>
              </w:rPr>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indique commet il faut gérer les caractères blancs dans un élément HTML.</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list-style-image</w:t>
            </w:r>
            <w:r w:rsidDel="00000000" w:rsidR="00000000" w:rsidRPr="00000000">
              <w:rPr>
                <w:rtl w:val="0"/>
              </w:rPr>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définit l'image utilisée comme puce devant les éléments de listes par: list-style-image: url("chemin/nom.ext");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Attribut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Effet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border-style</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rassembler quatre styles, séparés par des blancs, correspondent respectivement aux styles des traits en haut, à droite, en bas et à gauche de la  bordure. Si on indique un seul style alors il correspond au style de tous les traits  de la bordure.</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border-width</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l’épaisseur de la bordure d’un élément HTML. Cette  propriété est sans effet si le style de la bordure n’est pas défini (none).</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border-color</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la couleur de la bordure d’un élément HTML.</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border</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rassembler les valeurs des propriétés relatives à la définition de la bordure d’un élément HTML (border-style, border-width et border-color).</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border-radius</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d’arrondir les coins de la bordure. On peut également, définir des valeurs différentes pour les quatre coins de la bordure en utilisant les propriétés  border-top-left-radius, border-top-right-radius, border-bottom-right-radius et  border-bottom-left-radius.</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box-shadow</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d’attacher une ou plusieurs ombres portées à un élément HTML.</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Plusieurs paramètres permettent de personnaliser l’utilisation de cette  propriété comme la profondeur de l’ombre selon l'axe x et y, rayon du flou, sa couleur ….</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Attribut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Effet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position</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 type de positionnement d’un élément HTML : absolute pour un positionnement absolu par rapport au coin supérieur gauche de la page, et relative pour un positionnement relatif à l’élément parent. Les coordonnées de la  position doivent être spécifiés avec les propriétés top et left.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visibility</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rendre invisible un élément HTML sur la page.</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z-index</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l’emplacement d’un élément HTML sur l’axe Z.</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background-color</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définir la couleur d’arrière plan d’un élément HTML. La couleur d’arrière plan du document doit être définie pour l’élément body.</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background-image</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placer en arrière plan une image ou lieu d’une simple couleur. La valeur de cette propriété est un URL de l’image qui doit être passé en paramètre à la  fonction url("chemin/nom.ext" ).</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background-repeat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avec la valeur no-repeat pour ne pas répéter l’affichage de l’image de fond.</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background-position</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pour indiquer la position de l'image de fond avec les valeurs: left, center et right combinées avec top, center et bottom</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background-attachment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avec la valeur fixed pour fixer le défilent de l’image de fond dans le cas où on défile le contenu de l’élément HTML.</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Attribut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Effet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width et height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permettent de définir la taille d’un élément HTML</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margin</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margin-top  margin-right  margin-bottom</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margin-left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rassembler plusieurs valeurs, séparées par un blanc, des différentes marges extérieurs. Si on indique deux valeurs alors la première valeur  correspond aux marges en haut et en bas, et la deuxième valeur correspond aux  marges à droite et à gauche, et si on indique une seule valeur, alors elle  corresponde à toutes les marges.</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padding</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padding-top  padding-right  padding-bottom  padding-left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sont utilisées d’une manière similaire que les propriétés de définition des  marges extérieurs, et correspondent à des marges internes par rapport à la  bordure du document ou de tout élément HTML.</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Attribut</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Effet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E:hover</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changer automatiquement la mise en forme de l'élément HTML 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quand la souris vient au-dessus de cet élément.</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a:link</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changer la mise en forme d’un lien hypertexte non visité.</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a:visited</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changer la mise en forme d’un lien hypertexte une fois visité.</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a:hover</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changer automatiquement la mise en forme d’un lien hypertexte une  fois survolé par la souris.</w:t>
            </w:r>
          </w:p>
        </w:tc>
      </w:tr>
      <w:tr>
        <w:trPr>
          <w:cantSplit w:val="0"/>
          <w:trHeight w:val="802" w:hRule="atLeast"/>
          <w:tblHeader w:val="0"/>
        </w:trPr>
        <w:tc>
          <w:tcPr>
            <w:tcBorders>
              <w:top w:color="04dfdb" w:space="0" w:sz="8" w:val="single"/>
              <w:left w:color="04dfdb" w:space="0" w:sz="8" w:val="single"/>
              <w:bottom w:color="04dfdb" w:space="0" w:sz="8" w:val="single"/>
              <w:right w:color="04dfdb" w:space="0" w:sz="8" w:val="single"/>
            </w:tcBorders>
            <w:shd w:fill="auto" w:val="cle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a:active</w:t>
            </w:r>
          </w:p>
        </w:tc>
        <w:tc>
          <w:tcPr>
            <w:tcBorders>
              <w:top w:color="04dfdb" w:space="0" w:sz="8" w:val="single"/>
              <w:left w:color="04dfdb" w:space="0" w:sz="8" w:val="single"/>
              <w:bottom w:color="04dfdb" w:space="0" w:sz="8" w:val="single"/>
              <w:right w:color="04dfdb" w:space="0" w:sz="8" w:val="single"/>
            </w:tcBorders>
            <w:shd w:fill="auto" w:val="clear"/>
            <w:tcMar>
              <w:top w:w="15.0" w:type="dxa"/>
            </w:tcM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permet de changer automatiquement la mise en forme d’un lien hypertexte une</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fois activé.</w:t>
            </w:r>
          </w:p>
        </w:tc>
      </w:tr>
    </w:tb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19" w:lineRule="auto"/>
        <w:ind w:left="115"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417" w:top="1417" w:left="1417" w:right="141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160" w:line="25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3.0" w:type="dxa"/>
        <w:bottom w:w="0.0" w:type="dxa"/>
        <w:right w:w="108.0" w:type="dxa"/>
      </w:tblCellMar>
    </w:tblPr>
  </w:style>
  <w:style w:type="table" w:styleId="Table2">
    <w:basedOn w:val="TableNormal"/>
    <w:tblPr>
      <w:tblStyleRowBandSize w:val="1"/>
      <w:tblStyleColBandSize w:val="1"/>
      <w:tblCellMar>
        <w:top w:w="12.0" w:type="dxa"/>
        <w:left w:w="5.0" w:type="dxa"/>
        <w:bottom w:w="0.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